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BE" w:rsidRDefault="002216BE" w:rsidP="002216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216BE" w:rsidRDefault="002216BE" w:rsidP="002216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1780A" w:rsidRDefault="0021780A" w:rsidP="002216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C3BD7" w:rsidRDefault="007C3BD7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DC5C02" w:rsidRDefault="00DC5C02" w:rsidP="00DC5C02">
      <w:pPr>
        <w:jc w:val="center"/>
      </w:pPr>
      <w:r>
        <w:t>Méthode qualitative pour l’évaluation des offres de maîtrise d’œuvre.</w:t>
      </w:r>
    </w:p>
    <w:p w:rsidR="007C3BD7" w:rsidRDefault="007C3BD7" w:rsidP="007C3B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C3BD7" w:rsidRDefault="007C3BD7" w:rsidP="007C3BD7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DC5C02" w:rsidRDefault="00DC5C02" w:rsidP="007C3BD7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7C3BD7" w:rsidRDefault="007C3BD7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C3BD7" w:rsidRDefault="007C3BD7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7C3BD7">
        <w:rPr>
          <w:rFonts w:ascii="Arial" w:hAnsi="Arial" w:cs="Arial"/>
          <w:b/>
          <w:color w:val="000000"/>
          <w:sz w:val="40"/>
          <w:szCs w:val="40"/>
        </w:rPr>
        <w:t>M.A.P.A.</w:t>
      </w:r>
    </w:p>
    <w:p w:rsidR="001124EA" w:rsidRPr="007C3BD7" w:rsidRDefault="001124EA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Procédure ouverte</w:t>
      </w:r>
      <w:r w:rsidR="00885944">
        <w:rPr>
          <w:rFonts w:ascii="Arial" w:hAnsi="Arial" w:cs="Arial"/>
          <w:b/>
          <w:color w:val="000000"/>
          <w:sz w:val="40"/>
          <w:szCs w:val="40"/>
        </w:rPr>
        <w:t xml:space="preserve"> &amp; restreinte</w:t>
      </w:r>
    </w:p>
    <w:p w:rsidR="007C3BD7" w:rsidRDefault="007C3BD7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C3BD7" w:rsidRDefault="007C3BD7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C3BD7" w:rsidRDefault="007C3BD7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C3BD7" w:rsidRDefault="007C3BD7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C3BD7" w:rsidRDefault="007C3BD7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C3BD7" w:rsidRDefault="007C3BD7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C3BD7" w:rsidRDefault="0067503F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METHODE D’EMPLOI</w:t>
      </w:r>
      <w:r w:rsidR="005F2F77">
        <w:rPr>
          <w:rFonts w:ascii="Arial" w:hAnsi="Arial" w:cs="Arial"/>
          <w:b/>
          <w:color w:val="000000"/>
        </w:rPr>
        <w:t xml:space="preserve"> DE LA PONDERATION</w:t>
      </w:r>
    </w:p>
    <w:p w:rsidR="00EC1E6E" w:rsidRDefault="00EC1E6E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67503F" w:rsidRDefault="0067503F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METHODE DE CALCUL</w:t>
      </w:r>
    </w:p>
    <w:p w:rsidR="00EC1E6E" w:rsidRDefault="00EC1E6E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67503F" w:rsidRDefault="0067503F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METHODE D’ANALYSE</w:t>
      </w:r>
    </w:p>
    <w:p w:rsidR="001124EA" w:rsidRDefault="001124EA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C3BD7" w:rsidRDefault="007C3BD7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C3BD7" w:rsidRDefault="007C3BD7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C3BD7" w:rsidRDefault="007C3BD7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C3BD7" w:rsidRDefault="007C3BD7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C3BD7" w:rsidRDefault="007C3BD7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124EA" w:rsidRDefault="001124EA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124EA" w:rsidRDefault="001124EA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124EA" w:rsidRDefault="001124EA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124EA" w:rsidRDefault="001124EA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C3BD7" w:rsidRDefault="007C3BD7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C3BD7" w:rsidRDefault="007C3BD7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3037D" w:rsidRDefault="0053037D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DC5C02" w:rsidRDefault="00DC5C02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DC5C02" w:rsidRDefault="00DC5C02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DC5C02" w:rsidRDefault="00DC5C02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DC5C02" w:rsidRDefault="00DC5C02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DC5C02" w:rsidRDefault="00DC5C02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DC5C02" w:rsidRDefault="00DC5C02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DC5C02" w:rsidRDefault="00DC5C02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DC5C02" w:rsidRDefault="00DC5C02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DC5C02" w:rsidRDefault="00DC5C02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DC5C02" w:rsidRDefault="00DC5C02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DC5C02" w:rsidRDefault="00DC5C02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DC5C02" w:rsidRDefault="00DC5C02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DC5C02" w:rsidRDefault="00DC5C02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DC5C02" w:rsidRDefault="00DC5C02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3037D" w:rsidRDefault="0053037D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3037D" w:rsidRDefault="0053037D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3037D" w:rsidRDefault="0053037D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3037D" w:rsidRDefault="0053037D" w:rsidP="002178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C3BD7" w:rsidRDefault="007C3BD7" w:rsidP="001124E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21780A" w:rsidRPr="0021780A" w:rsidRDefault="00660D63" w:rsidP="00660D6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Méthode d’emploi de la pondération </w:t>
      </w:r>
      <w:r w:rsidR="00F5211A">
        <w:rPr>
          <w:rFonts w:ascii="Arial" w:hAnsi="Arial" w:cs="Arial"/>
          <w:b/>
          <w:color w:val="000000"/>
        </w:rPr>
        <w:t>(méthode</w:t>
      </w:r>
      <w:r>
        <w:rPr>
          <w:rFonts w:ascii="Arial" w:hAnsi="Arial" w:cs="Arial"/>
          <w:b/>
          <w:color w:val="000000"/>
        </w:rPr>
        <w:t xml:space="preserve"> relative)</w:t>
      </w:r>
    </w:p>
    <w:p w:rsidR="0021780A" w:rsidRDefault="0021780A" w:rsidP="002216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211A" w:rsidRDefault="00F5211A" w:rsidP="002216B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8575C" w:rsidRDefault="00660D63">
      <w:r>
        <w:t>L’appréciation de l’offre économiquement la plus avantageuse s’opère conformément aux dispositions de l’article 53 du code des marchés publics en fonction des critères pondérés suivants :</w:t>
      </w:r>
    </w:p>
    <w:p w:rsidR="00660D63" w:rsidRDefault="00660D63"/>
    <w:p w:rsidR="00F5211A" w:rsidRDefault="00F5211A"/>
    <w:p w:rsidR="00F5211A" w:rsidRDefault="006E3D40">
      <w:r>
        <w:rPr>
          <w:noProof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8.7pt;margin-top:15.1pt;width:26pt;height:158pt;z-index:251658240" fillcolor="black [3200]" strokecolor="black [3213]" strokeweight="3pt">
            <v:shadow on="t" type="perspective" color="#7f7f7f [1601]" opacity=".5" offset="1pt" offset2="-1pt"/>
          </v:shape>
        </w:pict>
      </w:r>
    </w:p>
    <w:p w:rsidR="00AB00D9" w:rsidRDefault="00660D63" w:rsidP="00AB00D9">
      <w:pPr>
        <w:ind w:left="705"/>
      </w:pPr>
      <w:r>
        <w:t xml:space="preserve">Critère 1 : </w:t>
      </w:r>
      <w:r w:rsidR="007754DC">
        <w:t xml:space="preserve">prix de la prestation (tableau MOP) </w:t>
      </w:r>
      <w:r w:rsidR="00F5211A">
        <w:t>en adéquation avec le calcul du coefficient de complexité.</w:t>
      </w:r>
      <w:r w:rsidR="00AB00D9" w:rsidRPr="00AB00D9">
        <w:t xml:space="preserve"> </w:t>
      </w:r>
      <w:r w:rsidR="00AB00D9">
        <w:t>(Pondération 30%)</w:t>
      </w:r>
      <w:r w:rsidR="006E3D4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0.8pt;margin-top:8.95pt;width:55.25pt;height:51.05pt;z-index:251659264;mso-position-horizontal-relative:text;mso-position-vertical-relative:text">
            <v:textbox style="mso-next-textbox:#_x0000_s1027">
              <w:txbxContent>
                <w:p w:rsidR="00366ECF" w:rsidRDefault="00366ECF" w:rsidP="00AF0870">
                  <w:pPr>
                    <w:jc w:val="center"/>
                  </w:pPr>
                  <w:r>
                    <w:t>VALEUR</w:t>
                  </w:r>
                </w:p>
                <w:p w:rsidR="00366ECF" w:rsidRDefault="00366ECF" w:rsidP="00AF0870">
                  <w:pPr>
                    <w:jc w:val="center"/>
                  </w:pPr>
                  <w:r>
                    <w:t>PRIX</w:t>
                  </w:r>
                </w:p>
              </w:txbxContent>
            </v:textbox>
          </v:shape>
        </w:pict>
      </w:r>
      <w:r w:rsidR="00AB00D9">
        <w:t>.</w:t>
      </w:r>
    </w:p>
    <w:p w:rsidR="00AB00D9" w:rsidRDefault="00AB00D9" w:rsidP="00AB00D9">
      <w:pPr>
        <w:ind w:left="705"/>
      </w:pPr>
    </w:p>
    <w:p w:rsidR="009A227D" w:rsidRDefault="00F5211A" w:rsidP="00AB00D9">
      <w:pPr>
        <w:ind w:left="2829" w:firstLine="3"/>
      </w:pPr>
      <w:r>
        <w:t xml:space="preserve">- </w:t>
      </w:r>
      <w:r w:rsidR="00AB00D9">
        <w:t xml:space="preserve">Prix de la prestation </w:t>
      </w:r>
      <w:r>
        <w:t xml:space="preserve">calcul par ordre décroissant </w:t>
      </w:r>
    </w:p>
    <w:p w:rsidR="00AF0870" w:rsidRDefault="00AB00D9" w:rsidP="007754DC">
      <w:pPr>
        <w:ind w:left="705"/>
      </w:pPr>
      <w:r>
        <w:tab/>
      </w:r>
      <w:r>
        <w:tab/>
      </w:r>
      <w:r>
        <w:tab/>
      </w:r>
      <w:r>
        <w:tab/>
        <w:t>- Justification du taux calcul par ordre croissant</w:t>
      </w:r>
    </w:p>
    <w:p w:rsidR="00AF0870" w:rsidRDefault="00AF0870" w:rsidP="007754DC">
      <w:pPr>
        <w:ind w:left="705"/>
      </w:pPr>
    </w:p>
    <w:p w:rsidR="00AD7BA3" w:rsidRDefault="00AF0870" w:rsidP="00AF0870">
      <w:pPr>
        <w:ind w:left="708"/>
      </w:pPr>
      <w:r>
        <w:t>Critère 2 : Pertinence de l’affectation et de la répartition des rôles (tableau joint) appréciée  notamment au regard de la répartition des tâches</w:t>
      </w:r>
      <w:r w:rsidR="00AD7BA3">
        <w:t xml:space="preserve"> et des délais par phases en cohérence avec le tableau de répartition des honoraires.</w:t>
      </w:r>
    </w:p>
    <w:p w:rsidR="00AF0870" w:rsidRDefault="00AF0870" w:rsidP="00AD7BA3">
      <w:pPr>
        <w:ind w:left="708"/>
      </w:pPr>
      <w:r>
        <w:t>(Pondération 25%)</w:t>
      </w:r>
      <w:r w:rsidR="00AD7BA3">
        <w:t xml:space="preserve"> </w:t>
      </w:r>
      <w:r>
        <w:t>Calcul par ordre croissant.</w:t>
      </w:r>
    </w:p>
    <w:p w:rsidR="00AF0870" w:rsidRDefault="00AF0870" w:rsidP="00AF0870">
      <w:pPr>
        <w:ind w:left="705"/>
      </w:pPr>
    </w:p>
    <w:p w:rsidR="00AF0870" w:rsidRDefault="00AF0870" w:rsidP="00AF0870">
      <w:pPr>
        <w:pStyle w:val="Paragraphedeliste"/>
        <w:numPr>
          <w:ilvl w:val="0"/>
          <w:numId w:val="1"/>
        </w:numPr>
      </w:pPr>
      <w:r>
        <w:t>Répartition des rôles</w:t>
      </w:r>
      <w:r w:rsidR="00600A9D">
        <w:t xml:space="preserve"> et des délais</w:t>
      </w:r>
      <w:r>
        <w:t xml:space="preserve"> notée sur 10.</w:t>
      </w:r>
    </w:p>
    <w:p w:rsidR="00AF0870" w:rsidRDefault="00AD7BA3" w:rsidP="00AF0870">
      <w:pPr>
        <w:pStyle w:val="Paragraphedeliste"/>
        <w:numPr>
          <w:ilvl w:val="0"/>
          <w:numId w:val="1"/>
        </w:numPr>
      </w:pPr>
      <w:r>
        <w:t>Cohérences</w:t>
      </w:r>
      <w:r w:rsidR="00AF0870">
        <w:t xml:space="preserve"> des rémunérations par phase notée sur 10.</w:t>
      </w:r>
    </w:p>
    <w:p w:rsidR="00AF0870" w:rsidRDefault="00AF0870" w:rsidP="007754DC">
      <w:pPr>
        <w:ind w:left="705"/>
      </w:pPr>
    </w:p>
    <w:p w:rsidR="009A227D" w:rsidRDefault="009A227D"/>
    <w:p w:rsidR="007754DC" w:rsidRDefault="006E3D40" w:rsidP="007754DC">
      <w:pPr>
        <w:ind w:left="705"/>
      </w:pPr>
      <w:r>
        <w:rPr>
          <w:noProof/>
          <w:lang w:eastAsia="fr-FR"/>
        </w:rPr>
        <w:pict>
          <v:shape id="_x0000_s1028" type="#_x0000_t87" style="position:absolute;left:0;text-align:left;margin-left:8.7pt;margin-top:.7pt;width:26pt;height:138.15pt;z-index:251660288" fillcolor="black [3200]" strokecolor="black [3213]" strokeweight="3pt">
            <v:shadow on="t" type="perspective" color="#7f7f7f [1601]" opacity=".5" offset="1pt" offset2="-1pt"/>
          </v:shape>
        </w:pict>
      </w:r>
      <w:r w:rsidR="00660D63">
        <w:tab/>
        <w:t xml:space="preserve">Critère </w:t>
      </w:r>
      <w:r w:rsidR="00AF0870">
        <w:t>3</w:t>
      </w:r>
      <w:r w:rsidR="00660D63">
        <w:t> : méthodologie proposée pour mener à bien</w:t>
      </w:r>
      <w:r w:rsidR="00E9636B">
        <w:t xml:space="preserve"> la prestation </w:t>
      </w:r>
      <w:r w:rsidR="00385CD0">
        <w:t>(pondération</w:t>
      </w:r>
      <w:r w:rsidR="00E9636B">
        <w:t xml:space="preserve"> 25%)</w:t>
      </w:r>
      <w:r w:rsidR="007754DC">
        <w:t xml:space="preserve"> </w:t>
      </w:r>
    </w:p>
    <w:p w:rsidR="007754DC" w:rsidRDefault="00F5211A" w:rsidP="007754DC">
      <w:pPr>
        <w:ind w:left="705"/>
      </w:pPr>
      <w:r>
        <w:t>Calcul</w:t>
      </w:r>
      <w:r w:rsidR="007754DC">
        <w:t xml:space="preserve"> par ordre croissant.</w:t>
      </w:r>
    </w:p>
    <w:p w:rsidR="00660D63" w:rsidRDefault="006E3D40">
      <w:r>
        <w:rPr>
          <w:noProof/>
          <w:lang w:eastAsia="fr-FR"/>
        </w:rPr>
        <w:pict>
          <v:shape id="_x0000_s1029" type="#_x0000_t202" style="position:absolute;margin-left:-65pt;margin-top:13.9pt;width:68.65pt;height:51.05pt;z-index:251661312">
            <v:textbox style="mso-next-textbox:#_x0000_s1029">
              <w:txbxContent>
                <w:p w:rsidR="00366ECF" w:rsidRDefault="00366ECF" w:rsidP="00AF0870">
                  <w:pPr>
                    <w:jc w:val="center"/>
                  </w:pPr>
                  <w:r>
                    <w:t>VALEUR</w:t>
                  </w:r>
                </w:p>
                <w:p w:rsidR="00366ECF" w:rsidRDefault="00366ECF" w:rsidP="00AF0870">
                  <w:pPr>
                    <w:jc w:val="center"/>
                  </w:pPr>
                  <w:r>
                    <w:t>TECHNIQUE</w:t>
                  </w:r>
                </w:p>
              </w:txbxContent>
            </v:textbox>
          </v:shape>
        </w:pict>
      </w:r>
    </w:p>
    <w:p w:rsidR="00660D63" w:rsidRDefault="00605B94" w:rsidP="00385CD0">
      <w:pPr>
        <w:pStyle w:val="Paragraphedeliste"/>
        <w:numPr>
          <w:ilvl w:val="0"/>
          <w:numId w:val="1"/>
        </w:numPr>
      </w:pPr>
      <w:r>
        <w:t>Organisation</w:t>
      </w:r>
      <w:r w:rsidR="00660D63">
        <w:t xml:space="preserve"> de l’équipe</w:t>
      </w:r>
      <w:r w:rsidR="007754DC">
        <w:t xml:space="preserve"> notée sur 10.</w:t>
      </w:r>
    </w:p>
    <w:p w:rsidR="00660D63" w:rsidRDefault="00660D63" w:rsidP="00385CD0">
      <w:pPr>
        <w:pStyle w:val="Paragraphedeliste"/>
        <w:numPr>
          <w:ilvl w:val="0"/>
          <w:numId w:val="1"/>
        </w:numPr>
      </w:pPr>
      <w:r>
        <w:t>Moyens</w:t>
      </w:r>
      <w:r w:rsidR="00605B94">
        <w:t xml:space="preserve"> humains et </w:t>
      </w:r>
      <w:r>
        <w:t xml:space="preserve"> </w:t>
      </w:r>
      <w:r w:rsidR="00605B94">
        <w:t xml:space="preserve">techniques </w:t>
      </w:r>
      <w:r w:rsidR="007754DC">
        <w:t xml:space="preserve"> notés sur 10.</w:t>
      </w:r>
    </w:p>
    <w:p w:rsidR="00E9636B" w:rsidRDefault="00E9636B"/>
    <w:p w:rsidR="0053037D" w:rsidRDefault="0053037D">
      <w:r>
        <w:tab/>
        <w:t xml:space="preserve">Critère </w:t>
      </w:r>
      <w:r w:rsidR="00AF0870">
        <w:t>4</w:t>
      </w:r>
      <w:r>
        <w:t xml:space="preserve"> : </w:t>
      </w:r>
      <w:r w:rsidR="005F2F77">
        <w:t>Qualité des références professionnelle</w:t>
      </w:r>
      <w:r w:rsidR="006E3D40">
        <w:t>s</w:t>
      </w:r>
      <w:r>
        <w:t xml:space="preserve"> (pondération 20%)</w:t>
      </w:r>
    </w:p>
    <w:p w:rsidR="00F5211A" w:rsidRDefault="00F5211A" w:rsidP="00F5211A">
      <w:pPr>
        <w:ind w:left="705"/>
      </w:pPr>
      <w:r>
        <w:t>Calcul par ordre croissant.</w:t>
      </w:r>
    </w:p>
    <w:p w:rsidR="00F5211A" w:rsidRDefault="00F5211A"/>
    <w:p w:rsidR="00605B94" w:rsidRDefault="00605B94" w:rsidP="00605B94">
      <w:pPr>
        <w:pStyle w:val="Paragraphedeliste"/>
        <w:numPr>
          <w:ilvl w:val="0"/>
          <w:numId w:val="1"/>
        </w:numPr>
      </w:pPr>
      <w:r>
        <w:t>Réalisation des 3 dernières années notée sur 10</w:t>
      </w:r>
    </w:p>
    <w:p w:rsidR="00F5211A" w:rsidRDefault="00F5211A" w:rsidP="00F5211A">
      <w:pPr>
        <w:pStyle w:val="Paragraphedeliste"/>
        <w:numPr>
          <w:ilvl w:val="0"/>
          <w:numId w:val="1"/>
        </w:numPr>
      </w:pPr>
      <w:r>
        <w:t>5 formats A4 ou A3 notée sur 10.</w:t>
      </w:r>
    </w:p>
    <w:p w:rsidR="00F5211A" w:rsidRDefault="00F5211A"/>
    <w:p w:rsidR="0053037D" w:rsidRDefault="0053037D" w:rsidP="0053037D">
      <w:pPr>
        <w:pStyle w:val="Paragraphedeliste"/>
        <w:ind w:left="3195"/>
      </w:pPr>
    </w:p>
    <w:p w:rsidR="001124EA" w:rsidRDefault="001124EA" w:rsidP="001124EA">
      <w:pPr>
        <w:pStyle w:val="Paragraphedeliste"/>
        <w:ind w:left="3195"/>
      </w:pPr>
      <w:r>
        <w:t>TOTAL = 100</w:t>
      </w:r>
      <w:r w:rsidR="00366ECF">
        <w:t xml:space="preserve"> </w:t>
      </w:r>
      <w:r>
        <w:t>%</w:t>
      </w:r>
    </w:p>
    <w:p w:rsidR="001124EA" w:rsidRDefault="001124EA" w:rsidP="0053037D">
      <w:pPr>
        <w:pStyle w:val="Paragraphedeliste"/>
        <w:ind w:left="3195"/>
      </w:pPr>
    </w:p>
    <w:p w:rsidR="009A227D" w:rsidRDefault="009A227D" w:rsidP="0053037D">
      <w:pPr>
        <w:pStyle w:val="Paragraphedeliste"/>
        <w:ind w:left="3195"/>
      </w:pPr>
    </w:p>
    <w:p w:rsidR="009A227D" w:rsidRDefault="009A227D" w:rsidP="0053037D">
      <w:pPr>
        <w:pStyle w:val="Paragraphedeliste"/>
        <w:ind w:left="3195"/>
      </w:pPr>
    </w:p>
    <w:p w:rsidR="009A227D" w:rsidRDefault="009A227D" w:rsidP="0053037D">
      <w:pPr>
        <w:pStyle w:val="Paragraphedeliste"/>
        <w:ind w:left="3195"/>
      </w:pPr>
    </w:p>
    <w:p w:rsidR="009A227D" w:rsidRDefault="009A227D" w:rsidP="0053037D">
      <w:pPr>
        <w:pStyle w:val="Paragraphedeliste"/>
        <w:ind w:left="3195"/>
      </w:pPr>
    </w:p>
    <w:p w:rsidR="009A227D" w:rsidRDefault="009A227D" w:rsidP="0053037D">
      <w:pPr>
        <w:pStyle w:val="Paragraphedeliste"/>
        <w:ind w:left="3195"/>
      </w:pPr>
    </w:p>
    <w:p w:rsidR="009A227D" w:rsidRDefault="009A227D" w:rsidP="0053037D">
      <w:pPr>
        <w:pStyle w:val="Paragraphedeliste"/>
        <w:ind w:left="3195"/>
      </w:pPr>
    </w:p>
    <w:p w:rsidR="009A227D" w:rsidRDefault="009A227D" w:rsidP="0053037D">
      <w:pPr>
        <w:pStyle w:val="Paragraphedeliste"/>
        <w:ind w:left="3195"/>
      </w:pPr>
    </w:p>
    <w:p w:rsidR="009A227D" w:rsidRDefault="009A227D" w:rsidP="00AD248A"/>
    <w:p w:rsidR="00AD248A" w:rsidRDefault="00AD248A" w:rsidP="00AD248A"/>
    <w:p w:rsidR="00183B7A" w:rsidRPr="0021780A" w:rsidRDefault="00183B7A" w:rsidP="00183B7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Formules de calcul.</w:t>
      </w:r>
    </w:p>
    <w:p w:rsidR="007754DC" w:rsidRDefault="007754DC" w:rsidP="007754DC"/>
    <w:p w:rsidR="009A227D" w:rsidRDefault="009A227D">
      <w:pPr>
        <w:rPr>
          <w:b/>
        </w:rPr>
      </w:pPr>
    </w:p>
    <w:p w:rsidR="0058575C" w:rsidRPr="001F7B26" w:rsidRDefault="001124EA">
      <w:pPr>
        <w:rPr>
          <w:b/>
        </w:rPr>
      </w:pPr>
      <w:r>
        <w:rPr>
          <w:b/>
        </w:rPr>
        <w:t xml:space="preserve">(Ordre décroissant) </w:t>
      </w:r>
      <w:r w:rsidR="0053037D" w:rsidRPr="0053037D">
        <w:rPr>
          <w:b/>
        </w:rPr>
        <w:t>Critère quantitatif financier (1) :</w:t>
      </w:r>
    </w:p>
    <w:p w:rsidR="0053037D" w:rsidRPr="001124EA" w:rsidRDefault="0053037D" w:rsidP="001124EA">
      <w:r w:rsidRPr="001F7B26">
        <w:t>Notation pondérée à 30%  établi sur la base de la formule suivante</w:t>
      </w:r>
      <w:r w:rsidR="00E33CA9" w:rsidRPr="001F7B26">
        <w:t>. L’offre la moins chère reçoit 30 points.</w:t>
      </w:r>
      <w:r w:rsidRPr="001F7B26">
        <w:t> </w:t>
      </w:r>
    </w:p>
    <w:p w:rsidR="00FE14EE" w:rsidRPr="0053037D" w:rsidRDefault="006E3D40" w:rsidP="00FE14EE">
      <w:pPr>
        <w:spacing w:line="240" w:lineRule="auto"/>
        <w:jc w:val="center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color w:val="00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u w:val="single"/>
                      </w:rPr>
                      <m:t>Offre la moins-disante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Offre du candidat analysée</m:t>
                    </m:r>
                  </m:den>
                </m:f>
              </m:e>
            </m:d>
          </m:e>
          <m:sup/>
        </m:sSup>
      </m:oMath>
      <w:r w:rsidR="00FE14EE" w:rsidRPr="0053037D">
        <w:rPr>
          <w:sz w:val="28"/>
          <w:szCs w:val="28"/>
        </w:rPr>
        <w:t>x</w:t>
      </w:r>
      <w:r w:rsidR="00FE14EE">
        <w:rPr>
          <w:sz w:val="28"/>
          <w:szCs w:val="28"/>
        </w:rPr>
        <w:t xml:space="preserve"> </w:t>
      </w:r>
      <w:r w:rsidR="00FE14EE" w:rsidRPr="0053037D">
        <w:rPr>
          <w:sz w:val="24"/>
          <w:szCs w:val="24"/>
        </w:rPr>
        <w:t>0.3</w:t>
      </w:r>
      <w:r w:rsidR="00FE14EE">
        <w:rPr>
          <w:sz w:val="24"/>
          <w:szCs w:val="24"/>
        </w:rPr>
        <w:t xml:space="preserve">  </w:t>
      </w:r>
      <w:r w:rsidR="00FE14EE" w:rsidRPr="0053037D">
        <w:rPr>
          <w:sz w:val="28"/>
          <w:szCs w:val="28"/>
        </w:rPr>
        <w:t>x</w:t>
      </w:r>
      <w:r w:rsidR="00FE14EE">
        <w:rPr>
          <w:sz w:val="28"/>
          <w:szCs w:val="28"/>
        </w:rPr>
        <w:t xml:space="preserve"> </w:t>
      </w:r>
      <w:r w:rsidR="00FE14EE">
        <w:rPr>
          <w:sz w:val="24"/>
          <w:szCs w:val="24"/>
        </w:rPr>
        <w:t>100 = n points</w:t>
      </w:r>
    </w:p>
    <w:p w:rsidR="009A227D" w:rsidRDefault="009A227D"/>
    <w:p w:rsidR="009A227D" w:rsidRDefault="009A227D"/>
    <w:p w:rsidR="009A227D" w:rsidRDefault="009A227D"/>
    <w:p w:rsidR="0053037D" w:rsidRPr="001F7B26" w:rsidRDefault="001124EA">
      <w:pPr>
        <w:rPr>
          <w:b/>
        </w:rPr>
      </w:pPr>
      <w:r>
        <w:rPr>
          <w:b/>
        </w:rPr>
        <w:t xml:space="preserve">(Ordre croissant) </w:t>
      </w:r>
      <w:r w:rsidR="00E33CA9" w:rsidRPr="0053037D">
        <w:rPr>
          <w:b/>
        </w:rPr>
        <w:t>Critère</w:t>
      </w:r>
      <w:r w:rsidR="00E33CA9">
        <w:rPr>
          <w:b/>
        </w:rPr>
        <w:t xml:space="preserve">s </w:t>
      </w:r>
      <w:r w:rsidR="00E33CA9" w:rsidRPr="0053037D">
        <w:rPr>
          <w:b/>
        </w:rPr>
        <w:t xml:space="preserve"> </w:t>
      </w:r>
      <w:r w:rsidR="00E33CA9">
        <w:rPr>
          <w:b/>
        </w:rPr>
        <w:t>qualitatifs</w:t>
      </w:r>
      <w:r w:rsidR="00E33CA9" w:rsidRPr="0053037D">
        <w:rPr>
          <w:b/>
        </w:rPr>
        <w:t xml:space="preserve"> (</w:t>
      </w:r>
      <w:r w:rsidR="00E33CA9">
        <w:rPr>
          <w:b/>
        </w:rPr>
        <w:t>2.3 et 4</w:t>
      </w:r>
      <w:r w:rsidR="00E33CA9" w:rsidRPr="0053037D">
        <w:rPr>
          <w:b/>
        </w:rPr>
        <w:t>) :</w:t>
      </w:r>
    </w:p>
    <w:p w:rsidR="0053037D" w:rsidRDefault="00E33CA9">
      <w:r>
        <w:t>Chaque sous critère fait l’objet d’une évaluation de 1 à 10 appréciée comme suit :</w:t>
      </w:r>
    </w:p>
    <w:p w:rsidR="00E33CA9" w:rsidRDefault="00E33CA9">
      <w:r>
        <w:t xml:space="preserve">9 à 10 : standard </w:t>
      </w:r>
      <w:r w:rsidR="00DC5C02">
        <w:t>exceptionnel</w:t>
      </w:r>
      <w:r>
        <w:t xml:space="preserve">, au-delà </w:t>
      </w:r>
      <w:r w:rsidR="001124EA">
        <w:t>des propositions usuelles</w:t>
      </w:r>
      <w:r>
        <w:t>.</w:t>
      </w:r>
    </w:p>
    <w:p w:rsidR="00E33CA9" w:rsidRDefault="00E33CA9">
      <w:r>
        <w:t>7 à 8 : proposition très satisfaisante, standard très élevé, aucune observation émise quant à l’acceptabilité.</w:t>
      </w:r>
    </w:p>
    <w:p w:rsidR="00E33CA9" w:rsidRDefault="00E33CA9">
      <w:r>
        <w:t>5 à 6 : proposition satisfaisante, standard élevé.</w:t>
      </w:r>
    </w:p>
    <w:p w:rsidR="00E33CA9" w:rsidRDefault="00E33CA9">
      <w:r>
        <w:t>3 à 4 : proposition correcte, présence de quelques observations mineures.</w:t>
      </w:r>
    </w:p>
    <w:p w:rsidR="00E33CA9" w:rsidRDefault="00E33CA9">
      <w:r>
        <w:t>1 à 2 : proposition acceptable (limite basse)</w:t>
      </w:r>
      <w:r w:rsidR="001F7B26">
        <w:t>.</w:t>
      </w:r>
    </w:p>
    <w:p w:rsidR="00E33CA9" w:rsidRDefault="00E33CA9">
      <w:r>
        <w:t>0 : absence d’information ou hors sujet</w:t>
      </w:r>
      <w:r w:rsidR="001F7B26">
        <w:t xml:space="preserve"> (évite d’éliminer le candidat en cas d’absence de mémoire).</w:t>
      </w:r>
    </w:p>
    <w:p w:rsidR="0053037D" w:rsidRDefault="0053037D"/>
    <w:p w:rsidR="0067503F" w:rsidRDefault="001F7B26">
      <w:r>
        <w:t>La note ainsi attribué (de 0 à 10) permet de distribuer le nombre de points</w:t>
      </w:r>
      <w:r w:rsidR="0067503F">
        <w:t xml:space="preserve"> par questions.</w:t>
      </w:r>
    </w:p>
    <w:p w:rsidR="001F7B26" w:rsidRDefault="0067503F">
      <w:r>
        <w:t>Le montant additionné des questions</w:t>
      </w:r>
      <w:r w:rsidR="001F7B26">
        <w:t xml:space="preserve"> </w:t>
      </w:r>
      <w:r>
        <w:t>est ensuite appliqué à la formule suivante :</w:t>
      </w:r>
    </w:p>
    <w:p w:rsidR="0053037D" w:rsidRDefault="0053037D"/>
    <w:p w:rsidR="001F7B26" w:rsidRPr="0053037D" w:rsidRDefault="006E3D40" w:rsidP="001F7B26">
      <w:pPr>
        <w:spacing w:line="240" w:lineRule="auto"/>
        <w:jc w:val="center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color w:val="00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u w:val="single"/>
                      </w:rPr>
                      <m:t>Offre du candidat notée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Offre ayant le+de points</m:t>
                    </m:r>
                  </m:den>
                </m:f>
              </m:e>
            </m:d>
          </m:e>
          <m:sup/>
        </m:sSup>
      </m:oMath>
      <w:r w:rsidR="001F7B26" w:rsidRPr="0053037D">
        <w:rPr>
          <w:sz w:val="28"/>
          <w:szCs w:val="28"/>
        </w:rPr>
        <w:t>x</w:t>
      </w:r>
      <w:r w:rsidR="001F7B26">
        <w:rPr>
          <w:sz w:val="28"/>
          <w:szCs w:val="28"/>
        </w:rPr>
        <w:t xml:space="preserve"> </w:t>
      </w:r>
      <w:r w:rsidR="001F7B26" w:rsidRPr="0053037D">
        <w:rPr>
          <w:sz w:val="24"/>
          <w:szCs w:val="24"/>
        </w:rPr>
        <w:t>0.</w:t>
      </w:r>
      <w:r w:rsidR="001F7B26">
        <w:rPr>
          <w:sz w:val="24"/>
          <w:szCs w:val="24"/>
        </w:rPr>
        <w:t xml:space="preserve">25  </w:t>
      </w:r>
      <w:r w:rsidR="001F7B26" w:rsidRPr="0053037D">
        <w:rPr>
          <w:sz w:val="28"/>
          <w:szCs w:val="28"/>
        </w:rPr>
        <w:t>x</w:t>
      </w:r>
      <w:r w:rsidR="001F7B26">
        <w:rPr>
          <w:sz w:val="28"/>
          <w:szCs w:val="28"/>
        </w:rPr>
        <w:t xml:space="preserve"> </w:t>
      </w:r>
      <w:r w:rsidR="001F7B26">
        <w:rPr>
          <w:sz w:val="24"/>
          <w:szCs w:val="24"/>
        </w:rPr>
        <w:t>100 = n points</w:t>
      </w:r>
    </w:p>
    <w:p w:rsidR="0053037D" w:rsidRDefault="0053037D"/>
    <w:p w:rsidR="00DC5C02" w:rsidRDefault="00DC5C02"/>
    <w:p w:rsidR="00DC5C02" w:rsidRDefault="00DC5C02"/>
    <w:p w:rsidR="00DC5C02" w:rsidRDefault="00DC5C02">
      <w:r>
        <w:t>Résultat final noté sur 100</w:t>
      </w:r>
    </w:p>
    <w:p w:rsidR="00DC5C02" w:rsidRDefault="00DC5C02"/>
    <w:p w:rsidR="00DC5C02" w:rsidRDefault="00DC5C02">
      <w:r>
        <w:t>C1 + C2 + C3 + C4 = note sur 100 points.</w:t>
      </w:r>
    </w:p>
    <w:p w:rsidR="0053037D" w:rsidRDefault="0053037D"/>
    <w:p w:rsidR="0053037D" w:rsidRDefault="0053037D"/>
    <w:p w:rsidR="006E0E03" w:rsidRDefault="006E0E03" w:rsidP="00ED2F7E">
      <w:pPr>
        <w:jc w:val="both"/>
        <w:rPr>
          <w:b/>
        </w:rPr>
      </w:pPr>
    </w:p>
    <w:p w:rsidR="0067503F" w:rsidRDefault="0067503F" w:rsidP="00ED2F7E">
      <w:pPr>
        <w:jc w:val="both"/>
        <w:rPr>
          <w:b/>
        </w:rPr>
      </w:pPr>
    </w:p>
    <w:p w:rsidR="0067503F" w:rsidRDefault="0067503F" w:rsidP="00ED2F7E">
      <w:pPr>
        <w:jc w:val="both"/>
        <w:rPr>
          <w:b/>
        </w:rPr>
      </w:pPr>
    </w:p>
    <w:p w:rsidR="0067503F" w:rsidRDefault="0067503F" w:rsidP="00ED2F7E">
      <w:pPr>
        <w:jc w:val="both"/>
        <w:rPr>
          <w:b/>
        </w:rPr>
      </w:pPr>
    </w:p>
    <w:p w:rsidR="0067503F" w:rsidRDefault="0067503F" w:rsidP="00ED2F7E">
      <w:pPr>
        <w:jc w:val="both"/>
        <w:rPr>
          <w:b/>
        </w:rPr>
      </w:pPr>
    </w:p>
    <w:p w:rsidR="0067503F" w:rsidRDefault="0067503F" w:rsidP="00ED2F7E">
      <w:pPr>
        <w:jc w:val="both"/>
        <w:rPr>
          <w:b/>
        </w:rPr>
      </w:pPr>
    </w:p>
    <w:p w:rsidR="0067503F" w:rsidRDefault="0067503F" w:rsidP="00ED2F7E">
      <w:pPr>
        <w:jc w:val="both"/>
        <w:rPr>
          <w:b/>
        </w:rPr>
      </w:pPr>
    </w:p>
    <w:p w:rsidR="0067503F" w:rsidRDefault="0067503F" w:rsidP="00ED2F7E">
      <w:pPr>
        <w:jc w:val="both"/>
        <w:rPr>
          <w:b/>
        </w:rPr>
      </w:pPr>
    </w:p>
    <w:p w:rsidR="0067503F" w:rsidRDefault="0067503F" w:rsidP="00ED2F7E">
      <w:pPr>
        <w:jc w:val="both"/>
        <w:rPr>
          <w:b/>
        </w:rPr>
      </w:pPr>
    </w:p>
    <w:p w:rsidR="00B424C4" w:rsidRDefault="00B424C4" w:rsidP="0067503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AD248A" w:rsidRDefault="00AD248A" w:rsidP="0067503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7503F" w:rsidRPr="0021780A" w:rsidRDefault="0067503F" w:rsidP="0067503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Méthode d’analyse.</w:t>
      </w:r>
    </w:p>
    <w:p w:rsidR="0067503F" w:rsidRDefault="0067503F" w:rsidP="0067503F">
      <w:pPr>
        <w:jc w:val="both"/>
        <w:rPr>
          <w:b/>
        </w:rPr>
      </w:pPr>
    </w:p>
    <w:p w:rsidR="0067503F" w:rsidRPr="00B424C4" w:rsidRDefault="0067503F" w:rsidP="0067503F">
      <w:pPr>
        <w:jc w:val="both"/>
      </w:pPr>
      <w:r w:rsidRPr="00B424C4">
        <w:t>Préalablement à la séance</w:t>
      </w:r>
      <w:r w:rsidR="004E47EC" w:rsidRPr="00B424C4">
        <w:t xml:space="preserve"> d’ouverture des offres</w:t>
      </w:r>
      <w:r w:rsidRPr="00B424C4">
        <w:t xml:space="preserve"> il est nécessaire d’avoir évalué à la lecture du dossier de consultation des maîtres d’œuvre :</w:t>
      </w:r>
    </w:p>
    <w:p w:rsidR="004E47EC" w:rsidRPr="00B424C4" w:rsidRDefault="004E47EC" w:rsidP="0067503F">
      <w:pPr>
        <w:jc w:val="both"/>
      </w:pPr>
    </w:p>
    <w:p w:rsidR="0067503F" w:rsidRPr="00B424C4" w:rsidRDefault="0067503F" w:rsidP="0067503F">
      <w:pPr>
        <w:jc w:val="both"/>
      </w:pPr>
      <w:r w:rsidRPr="00B424C4">
        <w:tab/>
        <w:t>1 – le tableau de ventilation des honoraires</w:t>
      </w:r>
      <w:r w:rsidR="004E47EC" w:rsidRPr="00B424C4">
        <w:t xml:space="preserve"> suivant les taux indicatifs de la MOP.</w:t>
      </w:r>
    </w:p>
    <w:p w:rsidR="004E47EC" w:rsidRPr="00B424C4" w:rsidRDefault="004E47EC" w:rsidP="0067503F">
      <w:pPr>
        <w:jc w:val="both"/>
      </w:pPr>
      <w:r w:rsidRPr="00B424C4">
        <w:tab/>
        <w:t>2 – Le calcul du coefficient de complexité.</w:t>
      </w:r>
    </w:p>
    <w:p w:rsidR="0067503F" w:rsidRPr="00B424C4" w:rsidRDefault="00F26480" w:rsidP="0067503F">
      <w:pPr>
        <w:jc w:val="both"/>
      </w:pPr>
      <w:r w:rsidRPr="00B424C4">
        <w:tab/>
        <w:t>3 –</w:t>
      </w:r>
      <w:r w:rsidR="00111D49" w:rsidRPr="00B424C4">
        <w:t xml:space="preserve"> L</w:t>
      </w:r>
      <w:r w:rsidRPr="00B424C4">
        <w:t>es délais moyens</w:t>
      </w:r>
      <w:r w:rsidR="00D339FC">
        <w:t xml:space="preserve"> ventilés par phase</w:t>
      </w:r>
      <w:r w:rsidRPr="00B424C4">
        <w:t xml:space="preserve"> au regard de la spécificité de l’opération.</w:t>
      </w:r>
    </w:p>
    <w:p w:rsidR="0067503F" w:rsidRPr="00B424C4" w:rsidRDefault="0067503F" w:rsidP="0067503F">
      <w:pPr>
        <w:jc w:val="both"/>
      </w:pPr>
    </w:p>
    <w:p w:rsidR="0067503F" w:rsidRDefault="0067503F" w:rsidP="0067503F">
      <w:pPr>
        <w:jc w:val="both"/>
      </w:pPr>
      <w:r w:rsidRPr="00B424C4">
        <w:t xml:space="preserve">Dans un premier temps on établit </w:t>
      </w:r>
      <w:r w:rsidR="004A6E76" w:rsidRPr="00B424C4">
        <w:t>un groupe</w:t>
      </w:r>
      <w:r w:rsidR="00F26480" w:rsidRPr="00B424C4">
        <w:t xml:space="preserve"> (par exemple groupe 1)</w:t>
      </w:r>
      <w:r w:rsidR="004A6E76" w:rsidRPr="00B424C4">
        <w:t xml:space="preserve"> dont l’écart </w:t>
      </w:r>
      <w:r w:rsidR="00E9424B" w:rsidRPr="00B424C4">
        <w:t xml:space="preserve">de prix </w:t>
      </w:r>
      <w:r w:rsidR="004A6E76" w:rsidRPr="00B424C4">
        <w:t>est supérieur  10%</w:t>
      </w:r>
      <w:r w:rsidR="006E3D40">
        <w:t xml:space="preserve"> ou  de 20% </w:t>
      </w:r>
      <w:r w:rsidR="004A6E76" w:rsidRPr="00B424C4">
        <w:t xml:space="preserve"> par rapport à l’évaluation administrative.</w:t>
      </w:r>
    </w:p>
    <w:p w:rsidR="004A6E76" w:rsidRDefault="004A6E76" w:rsidP="004A6E76">
      <w:pPr>
        <w:jc w:val="both"/>
      </w:pPr>
      <w:r w:rsidRPr="00B424C4">
        <w:t xml:space="preserve">Ensuite on établit un groupe dont l’écart est </w:t>
      </w:r>
      <w:r w:rsidR="006E3D40">
        <w:t>infé</w:t>
      </w:r>
      <w:r w:rsidRPr="00B424C4">
        <w:t xml:space="preserve">rieur  de </w:t>
      </w:r>
      <w:r w:rsidR="006E3D40">
        <w:t xml:space="preserve">10% ou de </w:t>
      </w:r>
      <w:r w:rsidRPr="00B424C4">
        <w:t>20%</w:t>
      </w:r>
      <w:r w:rsidR="00B424C4" w:rsidRPr="00B424C4">
        <w:t xml:space="preserve"> (</w:t>
      </w:r>
      <w:r w:rsidR="00F26480" w:rsidRPr="00B424C4">
        <w:t>ex groupe 2)</w:t>
      </w:r>
      <w:r w:rsidRPr="00B424C4">
        <w:t>.</w:t>
      </w:r>
    </w:p>
    <w:p w:rsidR="006E3D40" w:rsidRPr="00B424C4" w:rsidRDefault="006E3D40" w:rsidP="004A6E76">
      <w:pPr>
        <w:jc w:val="both"/>
      </w:pPr>
    </w:p>
    <w:p w:rsidR="004A6E76" w:rsidRPr="00B424C4" w:rsidRDefault="004A6E76" w:rsidP="0067503F">
      <w:pPr>
        <w:jc w:val="both"/>
      </w:pPr>
      <w:r w:rsidRPr="00B424C4">
        <w:t xml:space="preserve">On </w:t>
      </w:r>
      <w:r w:rsidR="006E3D40" w:rsidRPr="00B424C4">
        <w:t>établit</w:t>
      </w:r>
      <w:r w:rsidR="006E3D40">
        <w:t xml:space="preserve"> ainsi</w:t>
      </w:r>
      <w:r w:rsidRPr="00B424C4">
        <w:t xml:space="preserve"> </w:t>
      </w:r>
      <w:r w:rsidR="006E3D40">
        <w:t>un groupe de référence</w:t>
      </w:r>
      <w:r w:rsidRPr="00B424C4">
        <w:t xml:space="preserve"> </w:t>
      </w:r>
      <w:r w:rsidR="006E3D40">
        <w:t>moyen (ex groupe 3)</w:t>
      </w:r>
      <w:r w:rsidR="00E44EAA" w:rsidRPr="00B424C4">
        <w:t>.</w:t>
      </w:r>
    </w:p>
    <w:p w:rsidR="00E44EAA" w:rsidRPr="00B424C4" w:rsidRDefault="00E44EAA" w:rsidP="0067503F">
      <w:pPr>
        <w:jc w:val="both"/>
      </w:pPr>
    </w:p>
    <w:p w:rsidR="00E44EAA" w:rsidRPr="00B424C4" w:rsidRDefault="00F26480" w:rsidP="0067503F">
      <w:pPr>
        <w:jc w:val="both"/>
      </w:pPr>
      <w:r w:rsidRPr="00B424C4">
        <w:t xml:space="preserve">Une fois ces groupes établis on analyse les plis </w:t>
      </w:r>
      <w:r w:rsidR="00B424C4">
        <w:t xml:space="preserve">selon les critères du RC </w:t>
      </w:r>
      <w:r w:rsidRPr="00B424C4">
        <w:t>de chaque groupe par ordre d’écart.</w:t>
      </w:r>
      <w:bookmarkStart w:id="0" w:name="_GoBack"/>
      <w:bookmarkEnd w:id="0"/>
    </w:p>
    <w:p w:rsidR="00F26480" w:rsidRPr="00B424C4" w:rsidRDefault="00F26480" w:rsidP="0067503F">
      <w:pPr>
        <w:jc w:val="both"/>
      </w:pPr>
    </w:p>
    <w:p w:rsidR="00F26480" w:rsidRPr="00B424C4" w:rsidRDefault="00F26480" w:rsidP="0067503F">
      <w:pPr>
        <w:jc w:val="both"/>
      </w:pPr>
      <w:r w:rsidRPr="00B424C4">
        <w:t>Cette cohérence de prix entre les offres</w:t>
      </w:r>
      <w:r w:rsidR="00D339FC">
        <w:t xml:space="preserve"> d’un même groupe</w:t>
      </w:r>
      <w:r w:rsidRPr="00B424C4">
        <w:t xml:space="preserve"> permet d’avoir une tendance sur la qualité du groupe qui a été analysé.</w:t>
      </w:r>
      <w:r w:rsidR="00D339FC">
        <w:t xml:space="preserve"> On retrouve en général une cohérence entre le prix et les moyens humains</w:t>
      </w:r>
      <w:r w:rsidR="006E3D40">
        <w:t xml:space="preserve"> et délais </w:t>
      </w:r>
      <w:r w:rsidR="00D339FC">
        <w:t xml:space="preserve"> proposés.</w:t>
      </w:r>
    </w:p>
    <w:p w:rsidR="00F26480" w:rsidRPr="00B424C4" w:rsidRDefault="00F26480" w:rsidP="0067503F">
      <w:pPr>
        <w:jc w:val="both"/>
      </w:pPr>
    </w:p>
    <w:p w:rsidR="00F26480" w:rsidRPr="00B424C4" w:rsidRDefault="00F26480" w:rsidP="0067503F">
      <w:pPr>
        <w:jc w:val="both"/>
      </w:pPr>
      <w:r w:rsidRPr="00B424C4">
        <w:t>On va pouvoir ensuite plus facilement comparer la qualité générale des offres du groupe 1 avec le groupe 2</w:t>
      </w:r>
      <w:r w:rsidR="006E3D40">
        <w:t xml:space="preserve"> et le groupe 3 référent </w:t>
      </w:r>
      <w:r w:rsidRPr="00B424C4">
        <w:t xml:space="preserve"> et d’isoler</w:t>
      </w:r>
      <w:r w:rsidR="00111D49" w:rsidRPr="00B424C4">
        <w:t xml:space="preserve"> dans ces groupes</w:t>
      </w:r>
      <w:r w:rsidR="006E3D40">
        <w:t xml:space="preserve"> 1 et 2</w:t>
      </w:r>
      <w:r w:rsidRPr="00B424C4">
        <w:t xml:space="preserve"> les offres</w:t>
      </w:r>
      <w:r w:rsidR="00E9424B" w:rsidRPr="00B424C4">
        <w:t xml:space="preserve"> originales si </w:t>
      </w:r>
      <w:r w:rsidR="00111D49" w:rsidRPr="00B424C4">
        <w:t>il y en a</w:t>
      </w:r>
      <w:r w:rsidR="00E9424B" w:rsidRPr="00B424C4">
        <w:t>.</w:t>
      </w:r>
      <w:r w:rsidR="00AD7BA3">
        <w:t xml:space="preserve"> Ensuite on analyse grâce au tableau de décomposition hommes/délais/honoraires la cohérence de l’offre.</w:t>
      </w:r>
    </w:p>
    <w:p w:rsidR="00E9424B" w:rsidRPr="00B424C4" w:rsidRDefault="00E9424B" w:rsidP="0067503F">
      <w:pPr>
        <w:jc w:val="both"/>
      </w:pPr>
    </w:p>
    <w:p w:rsidR="00E9424B" w:rsidRPr="00B424C4" w:rsidRDefault="00E9424B" w:rsidP="00E9424B">
      <w:pPr>
        <w:jc w:val="both"/>
      </w:pPr>
      <w:r w:rsidRPr="00B424C4">
        <w:t>Cette méthode permet de comparer ce qui peut être comparable et de déceler les offres potentiellement anormalement basses</w:t>
      </w:r>
      <w:r w:rsidR="00D339FC">
        <w:t xml:space="preserve"> (ou hautes)</w:t>
      </w:r>
      <w:r w:rsidRPr="00B424C4">
        <w:t xml:space="preserve"> qui doivent faire l’objet d’une attention particulière.</w:t>
      </w:r>
    </w:p>
    <w:p w:rsidR="00E9424B" w:rsidRPr="00B424C4" w:rsidRDefault="00E9424B" w:rsidP="00E9424B">
      <w:pPr>
        <w:jc w:val="both"/>
      </w:pPr>
    </w:p>
    <w:sectPr w:rsidR="00E9424B" w:rsidRPr="00B424C4" w:rsidSect="0095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0072A"/>
    <w:multiLevelType w:val="hybridMultilevel"/>
    <w:tmpl w:val="E666650A"/>
    <w:lvl w:ilvl="0" w:tplc="F2544442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6BE"/>
    <w:rsid w:val="0002313D"/>
    <w:rsid w:val="00092A2E"/>
    <w:rsid w:val="00111D49"/>
    <w:rsid w:val="001124EA"/>
    <w:rsid w:val="00183B7A"/>
    <w:rsid w:val="001F7B26"/>
    <w:rsid w:val="002033E9"/>
    <w:rsid w:val="0021780A"/>
    <w:rsid w:val="002216BE"/>
    <w:rsid w:val="00303A96"/>
    <w:rsid w:val="00366ECF"/>
    <w:rsid w:val="00385CD0"/>
    <w:rsid w:val="003F17CD"/>
    <w:rsid w:val="004A6E76"/>
    <w:rsid w:val="004E47EC"/>
    <w:rsid w:val="004F5F9B"/>
    <w:rsid w:val="00501230"/>
    <w:rsid w:val="00517045"/>
    <w:rsid w:val="0053037D"/>
    <w:rsid w:val="005563EF"/>
    <w:rsid w:val="005640BE"/>
    <w:rsid w:val="00572CFA"/>
    <w:rsid w:val="0058575C"/>
    <w:rsid w:val="005F2F77"/>
    <w:rsid w:val="00600A9D"/>
    <w:rsid w:val="00605B94"/>
    <w:rsid w:val="00660D63"/>
    <w:rsid w:val="00664E3C"/>
    <w:rsid w:val="0067503F"/>
    <w:rsid w:val="006E0E03"/>
    <w:rsid w:val="006E3D40"/>
    <w:rsid w:val="006F7187"/>
    <w:rsid w:val="007754DC"/>
    <w:rsid w:val="00792ACF"/>
    <w:rsid w:val="007C3BD7"/>
    <w:rsid w:val="00883A87"/>
    <w:rsid w:val="00885944"/>
    <w:rsid w:val="009505E9"/>
    <w:rsid w:val="00954B55"/>
    <w:rsid w:val="00996CE9"/>
    <w:rsid w:val="009A227D"/>
    <w:rsid w:val="00A51B48"/>
    <w:rsid w:val="00A52FB6"/>
    <w:rsid w:val="00AB00D9"/>
    <w:rsid w:val="00AD248A"/>
    <w:rsid w:val="00AD5AF4"/>
    <w:rsid w:val="00AD7BA3"/>
    <w:rsid w:val="00AF0870"/>
    <w:rsid w:val="00B424C4"/>
    <w:rsid w:val="00B71150"/>
    <w:rsid w:val="00B76948"/>
    <w:rsid w:val="00BA0BB4"/>
    <w:rsid w:val="00BA586C"/>
    <w:rsid w:val="00BE43CB"/>
    <w:rsid w:val="00C22FF5"/>
    <w:rsid w:val="00CD0E8B"/>
    <w:rsid w:val="00D339FC"/>
    <w:rsid w:val="00D96F11"/>
    <w:rsid w:val="00DB159D"/>
    <w:rsid w:val="00DC5C02"/>
    <w:rsid w:val="00DD5C5C"/>
    <w:rsid w:val="00DF4304"/>
    <w:rsid w:val="00E33CA9"/>
    <w:rsid w:val="00E44EAA"/>
    <w:rsid w:val="00E45ED2"/>
    <w:rsid w:val="00E4672E"/>
    <w:rsid w:val="00E51B80"/>
    <w:rsid w:val="00E9424B"/>
    <w:rsid w:val="00E9636B"/>
    <w:rsid w:val="00EC1E6E"/>
    <w:rsid w:val="00ED2F7E"/>
    <w:rsid w:val="00F26480"/>
    <w:rsid w:val="00F5211A"/>
    <w:rsid w:val="00F5527D"/>
    <w:rsid w:val="00F877F6"/>
    <w:rsid w:val="00F87D42"/>
    <w:rsid w:val="00F91EB5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E9"/>
  </w:style>
  <w:style w:type="paragraph" w:styleId="Titre1">
    <w:name w:val="heading 1"/>
    <w:basedOn w:val="Normal"/>
    <w:next w:val="Normal"/>
    <w:link w:val="Titre1Car"/>
    <w:uiPriority w:val="9"/>
    <w:qFormat/>
    <w:rsid w:val="007C3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216BE"/>
  </w:style>
  <w:style w:type="character" w:styleId="lev">
    <w:name w:val="Strong"/>
    <w:basedOn w:val="Policepardfaut"/>
    <w:uiPriority w:val="22"/>
    <w:qFormat/>
    <w:rsid w:val="002216BE"/>
    <w:rPr>
      <w:b/>
      <w:bCs/>
    </w:rPr>
  </w:style>
  <w:style w:type="character" w:customStyle="1" w:styleId="chevron">
    <w:name w:val="chevron"/>
    <w:basedOn w:val="Policepardfaut"/>
    <w:rsid w:val="002216BE"/>
  </w:style>
  <w:style w:type="character" w:customStyle="1" w:styleId="Titre1Car">
    <w:name w:val="Titre 1 Car"/>
    <w:basedOn w:val="Policepardfaut"/>
    <w:link w:val="Titre1"/>
    <w:uiPriority w:val="9"/>
    <w:rsid w:val="007C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B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ATELIER 5</dc:creator>
  <cp:keywords/>
  <dc:description/>
  <cp:lastModifiedBy>Olivier Mathieu</cp:lastModifiedBy>
  <cp:revision>20</cp:revision>
  <cp:lastPrinted>2014-01-16T16:23:00Z</cp:lastPrinted>
  <dcterms:created xsi:type="dcterms:W3CDTF">2011-11-18T15:36:00Z</dcterms:created>
  <dcterms:modified xsi:type="dcterms:W3CDTF">2014-01-16T16:32:00Z</dcterms:modified>
</cp:coreProperties>
</file>